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contextualSpacing/>
        <w:ind w:firstLine="709"/>
        <w:jc w:val="center"/>
        <w:rPr>
          <w:b/>
          <w:sz w:val="24"/>
          <w:szCs w:val="24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4"/>
          <w:szCs w:val="24"/>
        </w:rPr>
        <w:t xml:space="preserve">Публичный </w:t>
      </w:r>
      <w:r>
        <w:rPr>
          <w:b/>
          <w:sz w:val="24"/>
          <w:szCs w:val="24"/>
        </w:rPr>
        <w:t xml:space="preserve">Договор</w:t>
      </w:r>
      <w:r>
        <w:rPr>
          <w:b/>
          <w:sz w:val="24"/>
          <w:szCs w:val="24"/>
        </w:rPr>
        <w:t xml:space="preserve">-</w:t>
      </w:r>
      <w:r>
        <w:rPr>
          <w:b/>
          <w:sz w:val="24"/>
          <w:szCs w:val="24"/>
        </w:rPr>
        <w:t xml:space="preserve">оферта</w:t>
      </w:r>
      <w:r>
        <w:rPr>
          <w:b/>
          <w:sz w:val="24"/>
          <w:szCs w:val="24"/>
        </w:rPr>
      </w:r>
    </w:p>
    <w:p>
      <w:pPr>
        <w:pStyle w:val="934"/>
        <w:contextualSpacing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аренды рабочей зоны в коворки</w:t>
      </w:r>
      <w:r>
        <w:rPr>
          <w:b/>
          <w:sz w:val="24"/>
          <w:szCs w:val="24"/>
        </w:rPr>
        <w:t xml:space="preserve">нге «Челябинск-СИТИ» </w:t>
      </w:r>
      <w:r>
        <w:rPr>
          <w:b/>
          <w:sz w:val="24"/>
          <w:szCs w:val="24"/>
        </w:rPr>
      </w:r>
    </w:p>
    <w:p>
      <w:pPr>
        <w:pStyle w:val="934"/>
        <w:contextual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contextual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Челябинск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Общество с ограниченной ответственностью «Бизнес-Сити»,</w:t>
      </w:r>
      <w:r>
        <w:rPr>
          <w:sz w:val="24"/>
          <w:szCs w:val="24"/>
        </w:rPr>
        <w:t xml:space="preserve"> именуемое в дальнейшем «Арендодатель</w:t>
      </w:r>
      <w:r>
        <w:rPr>
          <w:sz w:val="24"/>
          <w:szCs w:val="24"/>
        </w:rPr>
        <w:t xml:space="preserve">»,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с одной стороны, и </w:t>
      </w:r>
      <w:r>
        <w:rPr>
          <w:sz w:val="24"/>
          <w:szCs w:val="24"/>
        </w:rPr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«Арендатор»</w:t>
      </w:r>
      <w:bookmarkStart w:id="0" w:name="_Hlk24462527"/>
      <w:r>
        <w:rPr>
          <w:sz w:val="24"/>
          <w:szCs w:val="24"/>
        </w:rPr>
        <w:t xml:space="preserve"> (физическое лицо, юридическое лицо, индивидуальный предприниматель)</w:t>
      </w:r>
      <w:bookmarkEnd w:id="0"/>
      <w:r>
        <w:rPr>
          <w:sz w:val="24"/>
          <w:szCs w:val="24"/>
        </w:rPr>
        <w:t xml:space="preserve">, с другой стороны, совместно именуемые по тексту Договора «Стороны», заключили настоящий Договор</w:t>
      </w:r>
      <w:r>
        <w:rPr>
          <w:sz w:val="24"/>
          <w:szCs w:val="24"/>
        </w:rPr>
        <w:t xml:space="preserve">-оферту на изложенных ниже условиях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953"/>
        <w:jc w:val="center"/>
        <w:spacing w:before="0" w:beforeAutospacing="0" w:after="0" w:afterAutospacing="0"/>
      </w:pPr>
      <w:r>
        <w:t xml:space="preserve">  </w:t>
      </w:r>
      <w:r/>
    </w:p>
    <w:p>
      <w:pPr>
        <w:pStyle w:val="953"/>
        <w:jc w:val="both"/>
        <w:spacing w:before="0" w:beforeAutospacing="0" w:after="0" w:afterAutospacing="0" w:line="288" w:lineRule="atLeast"/>
      </w:pPr>
      <w:r>
        <w:t xml:space="preserve">    </w:t>
      </w:r>
      <w:r>
        <w:tab/>
      </w:r>
      <w:r>
        <w:t xml:space="preserve"> Арендатор</w:t>
      </w:r>
      <w:r>
        <w:t xml:space="preserve">ом может быть любое</w:t>
      </w:r>
      <w:r>
        <w:t xml:space="preserve"> физическое лицо, индивидуальный предприниматель, юридическое лицо, обратившееся за арендой рабочей зоны в коворкинг «Челябинск-СИТИ» и оплатившее аренду рабочего места согласно выбранного им тарифа. </w:t>
      </w:r>
      <w:r/>
    </w:p>
    <w:p>
      <w:pPr>
        <w:pStyle w:val="953"/>
        <w:ind w:firstLine="708"/>
        <w:jc w:val="both"/>
        <w:spacing w:before="168" w:beforeAutospacing="0" w:after="0" w:afterAutospacing="0" w:line="288" w:lineRule="atLeast"/>
      </w:pPr>
      <w:r>
        <w:t xml:space="preserve">Акцепт Договора осуществл</w:t>
      </w:r>
      <w:r>
        <w:t xml:space="preserve">яется после </w:t>
      </w:r>
      <w:r>
        <w:t xml:space="preserve">оплаты Арендатором аренды рабочего места по выбранному тарифу</w:t>
      </w:r>
      <w:r>
        <w:t xml:space="preserve">. </w:t>
      </w:r>
      <w:r/>
    </w:p>
    <w:p>
      <w:r/>
      <w:r/>
    </w:p>
    <w:p>
      <w:pPr>
        <w:pStyle w:val="937"/>
        <w:numPr>
          <w:ilvl w:val="0"/>
          <w:numId w:val="2"/>
        </w:numPr>
        <w:contextualSpacing/>
        <w:ind w:left="0" w:firstLine="0"/>
        <w:jc w:val="lef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ДОГОВОРА И ОБЩИЕ УСЛОВИЯ.</w:t>
      </w:r>
      <w:r>
        <w:rPr>
          <w:b/>
          <w:sz w:val="24"/>
          <w:szCs w:val="24"/>
        </w:rPr>
      </w:r>
    </w:p>
    <w:p>
      <w:pPr>
        <w:contextualSpacing/>
        <w:jc w:val="both"/>
        <w:shd w:val="clear" w:color="auto" w:fill="ffffff"/>
        <w:tabs>
          <w:tab w:val="left" w:pos="437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1.1.  Арендодатель обязуется предоставить в аренду</w:t>
      </w:r>
      <w:r>
        <w:rPr>
          <w:color w:val="202124"/>
          <w:sz w:val="24"/>
          <w:szCs w:val="24"/>
          <w:shd w:val="clear" w:color="auto" w:fill="ffffff"/>
        </w:rPr>
        <w:t xml:space="preserve"> Арендатору оборудованную рабочую зону,</w:t>
      </w:r>
      <w:r>
        <w:rPr>
          <w:spacing w:val="-1"/>
          <w:sz w:val="24"/>
          <w:szCs w:val="24"/>
        </w:rPr>
        <w:t xml:space="preserve"> расположенную на 5 этаже на территории коворкинга в БЦ «Челябинск-Сити» по адресу: г. Челябинск, ул. Кирова, д.159, а Арендатор обязуется оплатить. </w:t>
      </w:r>
      <w:r>
        <w:rPr>
          <w:spacing w:val="-1"/>
          <w:sz w:val="24"/>
          <w:szCs w:val="24"/>
        </w:rPr>
      </w:r>
    </w:p>
    <w:p>
      <w:pPr>
        <w:contextualSpacing/>
        <w:jc w:val="both"/>
        <w:shd w:val="clear" w:color="auto" w:fill="ffffff"/>
        <w:tabs>
          <w:tab w:val="left" w:pos="370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1.2. </w:t>
      </w:r>
      <w:bookmarkStart w:id="1" w:name="_Hlk97215321"/>
      <w:r>
        <w:rPr>
          <w:spacing w:val="-1"/>
          <w:sz w:val="24"/>
          <w:szCs w:val="24"/>
        </w:rPr>
        <w:t xml:space="preserve">Передача и возврат рабочей зоны оформляется Актом приема-передачи.</w:t>
      </w:r>
      <w:bookmarkEnd w:id="1"/>
      <w:r/>
      <w:r>
        <w:rPr>
          <w:spacing w:val="-1"/>
          <w:sz w:val="24"/>
          <w:szCs w:val="24"/>
        </w:rPr>
      </w:r>
    </w:p>
    <w:p>
      <w:pPr>
        <w:pStyle w:val="937"/>
        <w:contextualSpacing/>
        <w:ind w:left="0" w:firstLine="0"/>
        <w:jc w:val="lef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ОБЯЗАННОСТИ СТОРОН.</w:t>
      </w:r>
      <w:r>
        <w:rPr>
          <w:b/>
          <w:sz w:val="24"/>
          <w:szCs w:val="24"/>
        </w:rPr>
      </w:r>
    </w:p>
    <w:p>
      <w:pPr>
        <w:pStyle w:val="937"/>
        <w:contextualSpacing/>
        <w:ind w:left="0" w:firstLine="0"/>
        <w:spacing w:line="240" w:lineRule="auto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2.1. </w:t>
      </w:r>
      <w:r>
        <w:rPr>
          <w:b/>
          <w:bCs/>
          <w:sz w:val="24"/>
          <w:szCs w:val="24"/>
        </w:rPr>
        <w:t xml:space="preserve">Арендодатель обязан: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2.1.1. Предоставить по Акту приема-передачи (Приложение 2) Арендатору оборудованную рабочую зону для использования в качестве рабочего офисного места в соответствии с выбранным Арендатором тарифным планом (Приложение 1).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2.1.2.  Ознакомить Арендатора с правилами техники безопасности и пожарной безопасности, правилами пользования Коворкингом (Приложение 4).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2.1.3.  Содержать имущества в рабочих зонах и общих помещений в исправном надлежащем состоянии.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2.1.4. Своевременно информировать Арендатора об изменениях в структуре Услуг, правил пользования Коворкингом путём размещения соответствующей информации на сайте Арендодателя за 24 часа до вступления таких изменений в силу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/>
          <w:sz w:val="24"/>
          <w:szCs w:val="24"/>
        </w:rPr>
        <w:t xml:space="preserve">Арендодатель вправе: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2.2.1. В одностороннем порядке изменять правила и режим работы Коворкинга. </w:t>
      </w:r>
      <w:r>
        <w:rPr>
          <w:sz w:val="24"/>
          <w:szCs w:val="24"/>
        </w:rPr>
      </w:r>
    </w:p>
    <w:p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Запросить</w:t>
      </w:r>
      <w:r>
        <w:rPr>
          <w:sz w:val="24"/>
          <w:szCs w:val="24"/>
        </w:rPr>
        <w:t xml:space="preserve"> для проверки (сверки данных)</w:t>
      </w:r>
      <w:r>
        <w:rPr>
          <w:sz w:val="24"/>
          <w:szCs w:val="24"/>
        </w:rPr>
        <w:t xml:space="preserve"> у Арендатора документы, удостоверяющие личность для доступа на территорию коворкинга.</w:t>
      </w:r>
      <w:r>
        <w:rPr>
          <w:sz w:val="24"/>
          <w:szCs w:val="24"/>
        </w:rPr>
      </w:r>
    </w:p>
    <w:p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 В одностороннем внесудебном порядке расторгнуть договор с Арендатором при нарушении более 2(Двух) р</w:t>
      </w:r>
      <w:r>
        <w:rPr>
          <w:sz w:val="24"/>
          <w:szCs w:val="24"/>
        </w:rPr>
        <w:t xml:space="preserve">аз условий и обязательств по Договору, требований Арендодателя по соблюдению противопожарных и санитарно-гигиенических норм, подтвержденных видеоматериалами в соответствии с п. 2.2.5. или актами о нарушении обязательств, уведомив Арендатора за 2 (Два) дня.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2.2.4. Осуществлять контроль за использованием Арендатором ресурсов Интернета, интересоваться информацией, которую Арендатор переносит на электронные носители.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2.2.5. Осуществлять видеонаблюдение на всей территории коворкинга и прилегающей к нему территории с целью контроля за порядком, имуществом, инфраструктурой коворкинга.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Арендатор обязан:</w:t>
      </w:r>
      <w:r>
        <w:rPr>
          <w:b/>
          <w:sz w:val="24"/>
          <w:szCs w:val="24"/>
        </w:rPr>
      </w:r>
    </w:p>
    <w:p>
      <w:pPr>
        <w:pStyle w:val="953"/>
        <w:jc w:val="both"/>
        <w:spacing w:before="0" w:beforeAutospacing="0" w:after="0" w:afterAutospacing="0"/>
      </w:pPr>
      <w:r>
        <w:t xml:space="preserve">2.3.1. Своевременно оплачивать услуги Исполнителя по выбранному им тарифному плану</w:t>
      </w:r>
      <w:r>
        <w:t xml:space="preserve">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2.3.2. Использовать рабочую зону в соответствии с ее назначением – офисное рабочее место.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2.3.3. Ставить в известность Арендодателя о работнике, который будет использовать рабочую зону, а также о смене работника.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2.3.4. Соблюдать правила пользования Коворкингом, требования Исполнителя, нормы и правила пожарной безопасности и иные обязательные для соблюдения требования, установленные действующим законодательством.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2.3.5. Соблюдать санитарно-противоэпидемические требования и профилактические меры в соответствии с действующими нормами и ограничениями. При несоблюдении требований за</w:t>
      </w:r>
      <w:r>
        <w:rPr>
          <w:sz w:val="24"/>
          <w:szCs w:val="24"/>
        </w:rPr>
        <w:t xml:space="preserve">конодательства, повлекших привлечение Арендодателя к административной ответственности, Арендатор возмещает сумму уплаченного Арендодателем административного штрафа в течение 5 (пяти) рабочих дней с момента выставления Арендодателем соответствующего счёта.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2.3.6. Обеспечить сохранность рабочего места и предоставленного в его составе имущества, в том числе оборудования, а также принимать все возможные меры по предот</w:t>
      </w:r>
      <w:r>
        <w:rPr>
          <w:sz w:val="24"/>
          <w:szCs w:val="24"/>
        </w:rPr>
        <w:t xml:space="preserve">вращению угрозы повреждения или утраты имущества Арендодателя. При наличии вопросов по использованию оборудования (имущества), Арендатор должен запросить у Администратора информацию о порядке безопасного использования имущества и оборудования Арендодателя.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2.3.7. По истечение срока аренды (досрочном прекращении) возвратить Арендодателю рабочую зону в том состоянии, в котором Арендатор ее получил с учетом нормального (естественного) износа по Акту приема-передачи (возврата) (Приложение 3).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2.3.8. Не создавать препятствий для представителей Арендодателя при осуществлении контроля за соблюдением использования рабочей зоны.</w:t>
      </w:r>
      <w:r>
        <w:rPr>
          <w:sz w:val="24"/>
          <w:szCs w:val="24"/>
        </w:rPr>
      </w:r>
    </w:p>
    <w:p>
      <w:pPr>
        <w:pStyle w:val="941"/>
        <w:numPr>
          <w:ilvl w:val="0"/>
          <w:numId w:val="3"/>
        </w:numPr>
        <w:ind w:left="0" w:firstLine="0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СРОК ДОГОВОРА. СТОИМОСТЬ УСЛУГ И ПОРЯДОК РАСЧЕТОВ</w:t>
      </w:r>
      <w:r>
        <w:rPr>
          <w:b/>
          <w:bCs/>
          <w:sz w:val="24"/>
          <w:szCs w:val="24"/>
        </w:rPr>
      </w:r>
    </w:p>
    <w:p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bCs/>
          <w:sz w:val="24"/>
          <w:szCs w:val="24"/>
        </w:rPr>
        <w:t xml:space="preserve">Стоимость аренды по настоящему Договору соответствует стоимости по выбранному тарифному плану. </w:t>
      </w:r>
      <w:r>
        <w:rPr>
          <w:sz w:val="24"/>
          <w:szCs w:val="24"/>
        </w:rPr>
        <w:t xml:space="preserve">Оплата производится по предоплате 100%, включая НДС 20%.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3.2. Стоимость дней по тарифному плану, не использованных Арендатором, Арендодателем не возвращается.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рок предоставления рабочей зоной </w:t>
      </w:r>
      <w:r>
        <w:rPr>
          <w:sz w:val="24"/>
          <w:szCs w:val="24"/>
        </w:rPr>
        <w:t xml:space="preserve">согласно выбранного тарифа.</w:t>
      </w:r>
      <w:r>
        <w:rPr>
          <w:sz w:val="24"/>
          <w:szCs w:val="24"/>
        </w:rPr>
      </w:r>
    </w:p>
    <w:p>
      <w:pPr>
        <w:pStyle w:val="941"/>
        <w:numPr>
          <w:ilvl w:val="0"/>
          <w:numId w:val="3"/>
        </w:numPr>
        <w:ind w:left="0" w:firstLine="0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ОТВЕТСТВЕННОСТЬ СТОРОН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4.1. Арендатор несёт ответственность за соблюдение требований и обязанностей, указанных в п. 2.3 настоящего Договора.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4.2. При нарушении Аренд</w:t>
      </w:r>
      <w:r>
        <w:rPr>
          <w:sz w:val="24"/>
          <w:szCs w:val="24"/>
        </w:rPr>
        <w:t xml:space="preserve">атором (его Посетителями) требований и обязательств по Договору, Арендодатель составляет Акт о нарушении обязательств и вправе в соответствии с п. 2.2.3. в одностороннем внесудебном порядке расторгнуть Договор. Денежные средства Арендатору не возвращаются.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4.3. Арендатор (его Посетители) несёт материальную ответственность в размере реального ущерба за порчу имущества Арендодателя,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При утрате(повреждении) ключа от ячейки или карты для входа в здание и коворкинг Арендатор оплачивает штраф в размере 300 рублей за каждый утраченный предмет.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4.4. Арендодатель не несёт ответственность</w:t>
      </w:r>
      <w:r>
        <w:rPr>
          <w:sz w:val="24"/>
          <w:szCs w:val="24"/>
        </w:rPr>
        <w:t xml:space="preserve">: за сохранность личных вещей Арендатора и его Посетителей, за технические неудобства, вызванные причинами, находящимися за пределом контроля Арендодателя, за вред, причиненный жизни и здоровью Арендатора (его Посетителей) при отсутствии вины Арендодателя.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4.5. Арендатор</w:t>
      </w:r>
      <w:r>
        <w:rPr>
          <w:sz w:val="24"/>
          <w:szCs w:val="24"/>
        </w:rPr>
        <w:t xml:space="preserve"> (его Посетители) соглашаются с тем, что они не вправе требовать от Арендодателя какой-либо компенсации морального вреда, а также возмещения упущенной выгоды, за исключением случаев, прямо предусмотренных действующим законодательством Российской Федерации.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ФОРС-МАЖОРНЫЕ ОБСТОЯТЕЛЬСТВА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5.1. Стороны освобождаются от ответственности за частичное или полное неисполнение своих обязательств по Договору, если это явилось следствием обстоятельств непреодолимой силы, возникших после заключения Договора в результате со</w:t>
      </w:r>
      <w:r>
        <w:rPr>
          <w:sz w:val="24"/>
          <w:szCs w:val="24"/>
        </w:rPr>
        <w:t xml:space="preserve">бытий, которые Стороны не могли ни предвидеть, ни предотвратить разумными мерами, таких как: стихийные бедствия, война, гражданская война, принятие нормативно-правовых актов, ведущих к изменениям в законодательстве, действия органов государственной власти.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СОГЛАСИЕ НА ОБРАБОТКУ ПЕРСОНАЛЬНЫХ ДАННЫХ</w:t>
      </w:r>
      <w:r>
        <w:rPr>
          <w:b/>
          <w:bCs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6.1. Арендатор (физическое лицо), заключая настоящий Договор, выражает своё безусловное согласие на обработку Исполнителем персональных данных в соответствии со ст. 9 Федерального закона от 27.07.2006 № 152-ФЗ</w:t>
      </w:r>
      <w:r>
        <w:rPr>
          <w:sz w:val="24"/>
          <w:szCs w:val="24"/>
        </w:rPr>
        <w:t xml:space="preserve"> «О защите персональных данных»: фамилия, имя, отчество, паспортные данные или данные документа, удостоверяющего личность, дата рождения, место рождения, гражданство, адрес места жительства (по месту регистрации и фактический), номер телефона;  ИНН, СНИЛС.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На обработку персональных данных согласен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  <w:lang w:val="en-US"/>
        </w:rPr>
        <w:t xml:space="preserve">V</w:t>
      </w:r>
      <w:r>
        <w:rPr>
          <w:color w:val="ff0000"/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Согласие на обработку данных (полностью или частично) может быть в любое время отозвано на основании письменного заявления Арендатора. 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6.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Настоящее согласие действует с даты заключения Договора до момента прекращения обработки персональных данных Арендодателем.</w:t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. ЗАКЛЮЧИТЕЛЬНЫЕ ПОЛОЖЕНИЯ</w:t>
      </w:r>
      <w:r>
        <w:rPr>
          <w:b/>
          <w:bCs/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.1. Во всем остальном, что не урегулировано условиями Договора, Стороны будут руководствоваться действующим законодательством Российской Федерации. 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.2. Споры, вытекающие из Договора, передаются на разрешение в суд по месту нахождения </w:t>
      </w:r>
      <w:r>
        <w:rPr>
          <w:sz w:val="24"/>
          <w:szCs w:val="24"/>
        </w:rPr>
        <w:t xml:space="preserve">Арендодателя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</w:p>
    <w:p>
      <w:pPr>
        <w:contextualSpacing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.3. Заключая Договор, Ар</w:t>
      </w:r>
      <w:r>
        <w:rPr>
          <w:sz w:val="24"/>
          <w:szCs w:val="24"/>
        </w:rPr>
        <w:t xml:space="preserve">ендатор соглашается на видео, фотосъемку на территории коворкинга, и на использование этих материалов в целях подготовки и распространения рекламных материалов, содержащих его изображение в момент его нахождения в Коворкинге, в любых видах и в любой форме.</w:t>
      </w:r>
      <w:r>
        <w:rPr>
          <w:sz w:val="24"/>
          <w:szCs w:val="24"/>
        </w:rPr>
      </w:r>
    </w:p>
    <w:p>
      <w:pPr>
        <w:pStyle w:val="93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4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Дополнительные услуги</w:t>
      </w:r>
      <w:r>
        <w:rPr>
          <w:b/>
          <w:bCs/>
          <w:sz w:val="24"/>
          <w:szCs w:val="24"/>
          <w:lang w:eastAsia="en-US"/>
        </w:rPr>
        <w:t xml:space="preserve"> (оплата сверх тарифа)</w:t>
      </w:r>
      <w:r>
        <w:rPr>
          <w:b/>
          <w:bCs/>
          <w:sz w:val="24"/>
          <w:szCs w:val="24"/>
          <w:lang w:eastAsia="en-US"/>
        </w:rPr>
        <w:t xml:space="preserve">:</w:t>
      </w:r>
      <w:r>
        <w:rPr>
          <w:b/>
          <w:bCs/>
          <w:sz w:val="24"/>
          <w:szCs w:val="24"/>
          <w:lang w:eastAsia="en-US"/>
        </w:rPr>
      </w:r>
    </w:p>
    <w:tbl>
      <w:tblPr>
        <w:tblStyle w:val="935"/>
        <w:tblW w:w="8239" w:type="dxa"/>
        <w:tblLook w:val="04A0" w:firstRow="1" w:lastRow="0" w:firstColumn="1" w:lastColumn="0" w:noHBand="0" w:noVBand="1"/>
      </w:tblPr>
      <w:tblGrid>
        <w:gridCol w:w="560"/>
        <w:gridCol w:w="4323"/>
        <w:gridCol w:w="3356"/>
      </w:tblGrid>
      <w:tr>
        <w:trPr>
          <w:trHeight w:val="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№ п/п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Наименование услуги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Стоимость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Бумага А4 (10 листов)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13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Бумага А4 (пачка)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660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Бумага для флипчарта (лист)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25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4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Канцелярский набор (ручка, карандаш, линейка 15см)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80 руб.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Аренда лектория 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500 руб./час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58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324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Аренда переговорной комнаты 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357" w:type="dxa"/>
            <w:textDirection w:val="lrTb"/>
            <w:noWrap w:val="false"/>
          </w:tcPr>
          <w:p>
            <w:pPr>
              <w:pStyle w:val="9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50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0 руб./час</w:t>
            </w:r>
            <w:r>
              <w:rPr>
                <w:b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pStyle w:val="934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  <w:t xml:space="preserve">Арендатор несет полную материальную ответственность за сохранность оборудования и предметов интерьера в арендуемых помещениях</w:t>
      </w:r>
      <w:r>
        <w:rPr>
          <w:b/>
          <w:bCs/>
          <w:sz w:val="21"/>
          <w:szCs w:val="21"/>
          <w:lang w:eastAsia="en-US"/>
        </w:rPr>
        <w:t xml:space="preserve">.</w:t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ind w:firstLine="709"/>
        <w:rPr>
          <w:b/>
          <w:bCs/>
          <w:sz w:val="21"/>
          <w:szCs w:val="21"/>
          <w:lang w:eastAsia="en-US"/>
        </w:rPr>
      </w:pPr>
      <w:r>
        <w:rPr>
          <w:b/>
          <w:bCs/>
          <w:sz w:val="21"/>
          <w:szCs w:val="21"/>
          <w:lang w:eastAsia="en-US"/>
        </w:rPr>
      </w:r>
      <w:r>
        <w:rPr>
          <w:b/>
          <w:bCs/>
          <w:sz w:val="21"/>
          <w:szCs w:val="21"/>
          <w:lang w:eastAsia="en-US"/>
        </w:rPr>
      </w:r>
    </w:p>
    <w:p>
      <w:pPr>
        <w:pStyle w:val="934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34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65"/>
        <w:jc w:val="center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Правила пользования коворкингом «Челябинск-СИТИ»</w:t>
      </w:r>
      <w:r>
        <w:rPr>
          <w:b/>
          <w:bCs/>
          <w:color w:val="000000"/>
          <w:sz w:val="22"/>
          <w:szCs w:val="22"/>
        </w:rPr>
        <w:t xml:space="preserve">.</w:t>
      </w:r>
      <w:r/>
    </w:p>
    <w:p>
      <w:pPr>
        <w:pStyle w:val="953"/>
        <w:ind w:firstLine="4253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ОБЩИЕ ПОЛОЖЕНИЯ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Коворкинг является пространством самостоятельной рабочей деятельности физических лиц, не связанных трудовыми отношениями с Арендодателем.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Правила регулируют права и обязанности всех лиц, находящихся в Коворкинге, и обязательны для соблюдения ими.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Положения Правил применяются к отношениям между Арендодателем и третьими лицами, включая Арендаторов, клиентов, если иное не установлено отдельными соглашениями между ними.</w:t>
      </w:r>
      <w:r/>
    </w:p>
    <w:p>
      <w:pPr>
        <w:pStyle w:val="953"/>
        <w:numPr>
          <w:ilvl w:val="0"/>
          <w:numId w:val="31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Правила доводятся до сведения Арендаторов путем передачи Правил для ознакомления в печатном виде при заключении договора, при ознакомлении с услугами, обязанность доведения правил до клиентов, посетителей̆ коворкинга возложена на Арендатора.</w:t>
      </w:r>
      <w:r/>
    </w:p>
    <w:p>
      <w:pPr>
        <w:pStyle w:val="953"/>
        <w:ind w:firstLine="2552"/>
        <w:jc w:val="both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            РЕЖИМ РАБОТЫ. ПРАВИЛА ПОСЕЩЕНИЯ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Коворкинг работает ежедневно с 8−00 до 22−00.</w:t>
      </w:r>
      <w:r/>
    </w:p>
    <w:p>
      <w:pPr>
        <w:pStyle w:val="953"/>
        <w:numPr>
          <w:ilvl w:val="0"/>
          <w:numId w:val="32"/>
        </w:numPr>
        <w:ind w:left="1440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Для посещения Коворкинга Арендатору выдается пропуск на период посещения согласно выбранному тарифному плану, после заключения договора аренды. Срок действия карты заканчивается последним днем аренды. 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посещении Коворкинга Клиенты Арендатора, для оформления разового пропуска, клиент обязаны предоставить администратору на ресепшн документ, удостоверяющий̆ личность (паспорт, загранпаспорт, права, копию/фото паспорта).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Посещение Коворкинга и оказание услуг возможно только в периоды времени работы Коворкинга.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Посетитель проходит в Коворкинг с разрешения Администратора и обязан по первому требованию Администратора покинуть Коворкинг.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За утерю или повреждение карты, а также ключа от ячейки устанавливается штраф в размере 300 (Триста) рублей за единицу.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После прекращения договора Арендатор обязан покинуть Коворкинг в последний день аренды и вынести все свое имущество по первому требованию Администратора.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Ввоз/вывоз имущества осуществляется по согласованию с администрацией БЦ, посредством оформления разрешения (письма) на ввоз/вывоз ТМЦ. Запрос на внос/вывоз ТМЦ направляется в письменном виде на эл. почту office@chel-city.ru или нарочно на ресепшн 1 этажа.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Арендодатель вправе отказать в доступе в Коворкинг и/или в оказании услуг любому лицу без объяснения причин, за исключением Клиента, с которым заключен и действует договор.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нарушения каким-либо лицом, находящимся в Коворкинге и/или здании, Правил, такое лицо обязано по первому требованию Администратора покинуть Коворкинг и здание.</w:t>
      </w:r>
      <w:r/>
    </w:p>
    <w:p>
      <w:pPr>
        <w:pStyle w:val="953"/>
        <w:numPr>
          <w:ilvl w:val="0"/>
          <w:numId w:val="32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неоднократном нарушении правил пользования Коворкинга арендатором, арендодатель оставляет за собой право занесения такого арендатора в список недобросовестных арендаторов. </w:t>
      </w:r>
      <w:r/>
    </w:p>
    <w:p>
      <w:pPr>
        <w:pStyle w:val="953"/>
        <w:ind w:firstLine="2977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ОБЩИЕ ПРАВИЛА НАХОЖДЕНИЯ В КОВОРКИНГЕ</w:t>
      </w:r>
      <w:r/>
    </w:p>
    <w:p>
      <w:pPr>
        <w:pStyle w:val="953"/>
        <w:ind w:firstLine="709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В Коворкинге и здании запрещается: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курить, в том числе с испол</w:t>
      </w:r>
      <w:r>
        <w:rPr>
          <w:color w:val="000000"/>
          <w:sz w:val="22"/>
          <w:szCs w:val="22"/>
        </w:rPr>
        <w:t xml:space="preserve">ьзованием парогенераторных и электронных сигарет. За курение на территории Коворкинга и/или Здания устанавливается штраф в размере 5000 (пять тысяч) рублей. Места для курения находятся на улице. Убедительная просьба соблюдать чистоту и порядок вокруг урн.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в состоянии алкогольного или наркотического опьянения;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употреблять алкогольные напитки, наркотические, иные опьяняющие вещества;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создавать помехи и неудобства другим лицам, в том числе шуметь, нецензурно выражаться и совершать любые действия оскорбительного характера по отношению к другим лицам;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с животными;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детям без законного представителя;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без обуви;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находиться в грязной одежде и/или обуви и/или заносить с собой грязные вещи;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заносить в Здание и/или в Коворкинг крупногабаритные вещи с габаритами, превышающими 115 см в сумме 3-х измерений, без предварительного согласования с Администратором и оформления письменного разрешения на внос;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проходить через контрольно-пропускной пункт Бизнес-центра по чужим или поддельным пропускам. 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  передавать личный пропуск другому лицу;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вывоз (вынос) материальных ценностей без наличия необходимых документов (разрешения Арендодателя), по устным распоряжениям или по каким-либо документам, неправильно оформленным, независимо от того, кем дано такое распоряжение и кем подписаны эти документы;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хранить в Коворкинге или в Здании горюче-смазочные и легко воспламеняющиеся материалы;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складировать имущество в коридорах, на лестничных площадках, маршрутах эвакуации людей;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производить переоборудование помещений, замену дверных замков, устанавливать кондиционеры, обогреватели и любую аппаратуру с энергопотреблением более 1-го киловатта без согласования с Арендодателем;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оставлять включенными личные электроприборы в период своего отсутствия;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оставлять без присмотра личные вещи;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складировать личные вещи и/или оставлять их на хранение без согласования с Администратором;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спать;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лежать на диванах;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проводить совещания, собрания, встречи, конференции вне переговорных или конференц-залов;</w:t>
      </w:r>
      <w:r/>
    </w:p>
    <w:p>
      <w:pPr>
        <w:pStyle w:val="953"/>
        <w:ind w:firstLine="426"/>
        <w:jc w:val="both"/>
        <w:spacing w:before="0" w:beforeAutospacing="0" w:after="0" w:afterAutospacing="0"/>
        <w:widowControl w:val="off"/>
      </w:pPr>
      <w:r>
        <w:rPr>
          <w:color w:val="000000"/>
          <w:sz w:val="22"/>
          <w:szCs w:val="22"/>
        </w:rPr>
        <w:t xml:space="preserve">- смотреть фильмы или видеоролики, слушать аудиоматериалы без использования наушников.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Проведение на территории Коворкинга фото- и видеосъемки, аудиозаписи допускается исключительно с разрешения Администратора.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На</w:t>
      </w:r>
      <w:r>
        <w:rPr>
          <w:color w:val="000000"/>
          <w:sz w:val="22"/>
          <w:szCs w:val="22"/>
        </w:rPr>
        <w:t xml:space="preserve"> территории Коворкинга запрещается находиться посторонним лицам. Обо всех посторонних лицах, находящихся в Коворкинге и/или Здании, необходимо сообщать Администратору по тел.: 245 _______, при необходимости звонить в службу безопасности по тел.: 245-33-09.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На территории Коворкинга телефоны необходимо перевести в виброрежим или в беззвучный режим.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Пользователи обязаны обеспечивать чистоту и порядок в Коворкинге и в Здании в отношении своей деятельности в нём.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После окончания времени работы в Коворкинге ежедневно Клиент должен убрать за собой мусор и выкинуть его в мусорное ведро. 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случае, если требуется участие уборщицы для обеспечения чистоты в конкретных местах вследствие деятельности пользователя (пролитие напитков, разброс еды на пол, на стол и тому подобное), пользователь должен сообщить об этом Администратору.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Пользователи Коворкинга должны</w:t>
      </w:r>
      <w:r>
        <w:rPr>
          <w:color w:val="000000"/>
          <w:sz w:val="22"/>
          <w:szCs w:val="22"/>
        </w:rPr>
        <w:t xml:space="preserve"> соблюдать правила пожарной безопасности, иные обязательные нормы и правила при осуществлении своей деятельности, бережно относиться к имуществу, находящемуся в Коворкинге и в здании, а в случае порчи такого имущества должны возместить нанесенный ущерб.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обнаружения любых неисправности и/или аварийной ситуации по инженерному оборудованию Клиент обязан немедленно оповестить об этом Арендодателя через Администратора, по тел. 245-30-30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(сб, вс),</w:t>
      </w:r>
      <w:r>
        <w:rPr>
          <w:color w:val="000000"/>
          <w:sz w:val="22"/>
          <w:szCs w:val="22"/>
        </w:rPr>
        <w:t xml:space="preserve"> 245-30</w:t>
      </w:r>
      <w:r>
        <w:rPr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00 </w:t>
      </w:r>
      <w:r>
        <w:rPr>
          <w:color w:val="000000"/>
          <w:sz w:val="22"/>
          <w:szCs w:val="22"/>
        </w:rPr>
        <w:t xml:space="preserve">(рабочие дни) </w:t>
      </w:r>
      <w:r>
        <w:rPr>
          <w:color w:val="000000"/>
          <w:sz w:val="22"/>
          <w:szCs w:val="22"/>
        </w:rPr>
        <w:t xml:space="preserve">или эл.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п</w:t>
      </w:r>
      <w:r>
        <w:rPr>
          <w:color w:val="000000"/>
          <w:sz w:val="22"/>
          <w:szCs w:val="22"/>
        </w:rPr>
        <w:t xml:space="preserve">очте</w:t>
      </w:r>
      <w:r>
        <w:rPr>
          <w:color w:val="000000"/>
          <w:sz w:val="22"/>
          <w:szCs w:val="22"/>
        </w:rPr>
        <w:t xml:space="preserve">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admin</w:t>
      </w:r>
      <w:r>
        <w:rPr>
          <w:color w:val="000000"/>
          <w:sz w:val="22"/>
          <w:szCs w:val="22"/>
        </w:rPr>
        <w:t xml:space="preserve">@</w:t>
      </w:r>
      <w:r>
        <w:rPr>
          <w:color w:val="000000"/>
          <w:sz w:val="22"/>
          <w:szCs w:val="22"/>
          <w:lang w:val="en-US"/>
        </w:rPr>
        <w:t xml:space="preserve">chel</w:t>
      </w:r>
      <w:r>
        <w:rPr>
          <w:color w:val="000000"/>
          <w:sz w:val="22"/>
          <w:szCs w:val="22"/>
        </w:rPr>
        <w:t xml:space="preserve">-</w:t>
      </w:r>
      <w:r>
        <w:rPr>
          <w:color w:val="000000"/>
          <w:sz w:val="22"/>
          <w:szCs w:val="22"/>
          <w:lang w:val="en-US"/>
        </w:rPr>
        <w:t xml:space="preserve">city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  <w:lang w:val="en-US"/>
        </w:rPr>
        <w:t xml:space="preserve">ru</w:t>
      </w:r>
      <w:r>
        <w:rPr>
          <w:color w:val="000000"/>
          <w:sz w:val="22"/>
          <w:szCs w:val="22"/>
        </w:rPr>
        <w:t xml:space="preserve">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Требования Администратора и иных лиц, </w:t>
      </w:r>
      <w:r>
        <w:rPr>
          <w:color w:val="000000"/>
          <w:sz w:val="22"/>
          <w:szCs w:val="22"/>
        </w:rPr>
        <w:t xml:space="preserve">уполномоченных </w:t>
      </w:r>
      <w:r>
        <w:rPr>
          <w:color w:val="000000"/>
          <w:sz w:val="22"/>
          <w:szCs w:val="22"/>
        </w:rPr>
        <w:t xml:space="preserve">от имени Арендодателя, по соблюдению Правил, действующего законодательства обязательны к исполнению на территории Коворкинга. Лица, не выполняющие такие требования обязаны покинуть Коворкинг вместе со своими вещами по первому требованию Администратора.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Клиент обязан информировать Администратора обо всех случаях правонарушений на территории Коворкинга или Здания, фактах порчи имущества, принадлежащего Коворкинга или Зданию.</w:t>
      </w:r>
      <w:r/>
    </w:p>
    <w:p>
      <w:pPr>
        <w:pStyle w:val="953"/>
        <w:numPr>
          <w:ilvl w:val="0"/>
          <w:numId w:val="33"/>
        </w:numPr>
        <w:ind w:firstLine="426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включения пожарной сигнализации и соответствующего звукового сигнала Арендаторы и посетители Коворкинга обязаны незамедлительно покинуть здание, где бы они не находились в момент включения оповещения используя пути эвакуации.</w:t>
      </w:r>
      <w:r/>
    </w:p>
    <w:p>
      <w:pPr>
        <w:pStyle w:val="953"/>
        <w:ind w:firstLine="1843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ПРАВИЛА ИСПОЛЬЗОВАНИЯ ПОМЕЩЕНИЯМИ В КОВОРКИНГЕ</w:t>
      </w:r>
      <w:r/>
    </w:p>
    <w:p>
      <w:pPr>
        <w:pStyle w:val="953"/>
        <w:ind w:firstLine="4253"/>
        <w:spacing w:before="0" w:beforeAutospacing="0" w:after="0" w:afterAutospacing="0"/>
        <w:widowControl w:val="off"/>
      </w:pPr>
      <w:r>
        <w:rPr>
          <w:b/>
          <w:bCs/>
          <w:color w:val="000000"/>
          <w:sz w:val="22"/>
          <w:szCs w:val="22"/>
        </w:rPr>
        <w:t xml:space="preserve">РАБОЧАЯ ЗОНА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Услуги предоставления рабочей зоны в пользование оказываются только после заключения договора и оплаты услуг на условиях 100% аванса, если иное не предусмотрено соглашением сторон договора.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Клиент для оказания услуг обязан пройти процедуру регистрации путем предоставления Администратору документа, удостоверяющего личность, с которого Администратор вправе снять копию.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После оплаты стоимости Абонемента Клиент получает пропуск и ключ от ячейки для хранения личных вещей.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 истечении срока действия (прекращения) договора Клиент обязан вернуть пропуск и ключ Администратору.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Для посетит</w:t>
      </w:r>
      <w:r>
        <w:rPr>
          <w:color w:val="000000"/>
          <w:sz w:val="22"/>
          <w:szCs w:val="22"/>
        </w:rPr>
        <w:t xml:space="preserve">елей Арендатора оформляется гостевой (разовый) пропуск. Гостевой пропуск выдается на каждое лицо в отдельности при предъявлении удостоверения личности (паспорт, водительское удостоверение) и дает право на проход на территорию только один раз в день выдачи.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отсутствии у посетителя документов, подтверждающих личность проход на территорию бизнес-центра, осуществляется только в сопровождении представит</w:t>
      </w:r>
      <w:r>
        <w:rPr>
          <w:color w:val="000000"/>
          <w:sz w:val="22"/>
          <w:szCs w:val="22"/>
        </w:rPr>
        <w:t xml:space="preserve">еля Арендатора, к которому прибыл посетитель на основании постоянного пропуска Арендатора. Арендатор самостоятельно выводит посетителя с территории бизнес-центра по своему постоянному пропуску и несет персональную ответственность за сопровождаемое им лицо.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рамках предоставления услуг Арендатору предоставляется кон</w:t>
      </w:r>
      <w:r>
        <w:rPr>
          <w:color w:val="000000"/>
          <w:sz w:val="22"/>
          <w:szCs w:val="22"/>
        </w:rPr>
        <w:t xml:space="preserve">кретное рабочее место на территории Коворкинга. Арендатор имеет право распоряжаться своим рабочим местом по своему усмотрению, при этом не создавая неудобств для других лиц, находящихся в Коворкинге, а также не нарушая правила, установленные Арендодателем.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работе в Коворкинге Арендатор обязан самостоятельно обеспечивать сохранность своих электронных данных на случай возможного прекращения электроснабжения помещений Коворкинга.</w:t>
      </w:r>
      <w:r/>
    </w:p>
    <w:p>
      <w:pPr>
        <w:pStyle w:val="953"/>
        <w:numPr>
          <w:ilvl w:val="0"/>
          <w:numId w:val="34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При работе в Коворкинге Арендатору разрешается занять иное рабочее место, если оно свободно, с разрешения Администратора Коворкинга и внесения изменений в Акт приема-передачи рабочего места.</w:t>
      </w:r>
      <w:r/>
    </w:p>
    <w:p>
      <w:pPr>
        <w:pStyle w:val="953"/>
        <w:ind w:left="426" w:firstLine="3543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ПЕРЕГОВОРНАЯ КОМНАТА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Переговорная комната заказывается по предварительной записи не позднее, чем за 24 часа до планируемой даты использования, и предоставляется при наличии незанятого времени её использования.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Арендодатель имеет право ограничить периодичность пользования переговорной комнатой до 3-х раз в неделю продолжительностью не более 60 минут каждое.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случае, если Клиент не занял переговорную комнату в течение 15 минут с момента начала забронированного периода, Администратор вправе отменить бронирование и предоставить переговорную комнату в пользование другому Клиенту.</w:t>
      </w:r>
      <w:r/>
    </w:p>
    <w:p>
      <w:pPr>
        <w:pStyle w:val="953"/>
        <w:numPr>
          <w:ilvl w:val="0"/>
          <w:numId w:val="35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случае использования Переговорной комнаты в нуждах</w:t>
      </w:r>
      <w:r>
        <w:rPr>
          <w:color w:val="000000"/>
          <w:sz w:val="22"/>
          <w:szCs w:val="22"/>
        </w:rPr>
        <w:t xml:space="preserve">/интересах Арендодателя пользование переговорной комнатой для резидентов Коворкинга ограничено, о времени использования переговорной комнаты в интересах Арендодателя, Арендаторы извещаются посредством оповещения и размещения информации в зоне переговорной.</w:t>
      </w:r>
      <w:r/>
    </w:p>
    <w:p>
      <w:pPr>
        <w:pStyle w:val="953"/>
        <w:ind w:left="426" w:firstLine="4394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ЛЕКТОРИЙ</w:t>
      </w:r>
      <w:r/>
    </w:p>
    <w:p>
      <w:pPr>
        <w:pStyle w:val="953"/>
        <w:numPr>
          <w:ilvl w:val="0"/>
          <w:numId w:val="36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Лекторий заказывается по предварительной записи не позднее, чем за три рабочих дня до планируемой даты использования, и предоставляется при наличии незанятого времени его использования.</w:t>
      </w:r>
      <w:r/>
    </w:p>
    <w:p>
      <w:pPr>
        <w:pStyle w:val="953"/>
        <w:numPr>
          <w:ilvl w:val="0"/>
          <w:numId w:val="36"/>
        </w:numPr>
        <w:ind w:firstLine="426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Лекторий предоставляется на платной основе за исключением лимита, предусмотренного тарифным планом «Комфорт».</w:t>
      </w:r>
      <w:r/>
    </w:p>
    <w:p>
      <w:pPr>
        <w:pStyle w:val="953"/>
        <w:ind w:left="426" w:firstLine="4536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ЧАЙНАЯ</w:t>
      </w:r>
      <w:r/>
    </w:p>
    <w:p>
      <w:pPr>
        <w:pStyle w:val="953"/>
        <w:numPr>
          <w:ilvl w:val="0"/>
          <w:numId w:val="37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Доступ Арендатора в чайную осуществляется посредством системы СКУД с использованием выданной пластиковой магнитной карты.</w:t>
      </w:r>
      <w:r/>
    </w:p>
    <w:p>
      <w:pPr>
        <w:pStyle w:val="953"/>
        <w:numPr>
          <w:ilvl w:val="0"/>
          <w:numId w:val="37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Арендодатель комплектует чайную кофе и чаем (по два пакетика на день на одного человека).</w:t>
      </w:r>
      <w:r/>
    </w:p>
    <w:p>
      <w:pPr>
        <w:pStyle w:val="953"/>
        <w:numPr>
          <w:ilvl w:val="0"/>
          <w:numId w:val="37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чайной Арендатору необходимо:</w:t>
      </w:r>
      <w:r/>
    </w:p>
    <w:p>
      <w:pPr>
        <w:pStyle w:val="953"/>
        <w:ind w:left="72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- соблюдать чистоту: утилизировать использованную одноразовую посуду в специальные контейнеры; </w:t>
      </w:r>
      <w:r/>
    </w:p>
    <w:p>
      <w:pPr>
        <w:pStyle w:val="953"/>
        <w:ind w:left="72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- пищевые продукты хранить строго в холодильнике;</w:t>
      </w:r>
      <w:r/>
    </w:p>
    <w:p>
      <w:pPr>
        <w:pStyle w:val="953"/>
        <w:ind w:left="72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- при порче продуктов своевременно утилизировать их в специальные контейнеры;</w:t>
      </w:r>
      <w:r/>
    </w:p>
    <w:p>
      <w:pPr>
        <w:pStyle w:val="953"/>
        <w:numPr>
          <w:ilvl w:val="0"/>
          <w:numId w:val="38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Арендатор несет ответственность за нарушение правил использования электрооборудования.</w:t>
      </w:r>
      <w:r/>
    </w:p>
    <w:p>
      <w:pPr>
        <w:pStyle w:val="953"/>
        <w:numPr>
          <w:ilvl w:val="0"/>
          <w:numId w:val="38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Покидая чайную, Арендатор обязан выключить свет и закрыть входную дверь.</w:t>
      </w:r>
      <w:r/>
    </w:p>
    <w:p>
      <w:pPr>
        <w:pStyle w:val="953"/>
        <w:ind w:firstLine="2835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 xml:space="preserve">        ПРАВИЛА ВОЗВРАТА РАБОЧЕГО МЕСТА</w:t>
      </w:r>
      <w:r/>
    </w:p>
    <w:p>
      <w:pPr>
        <w:pStyle w:val="953"/>
        <w:numPr>
          <w:ilvl w:val="0"/>
          <w:numId w:val="39"/>
        </w:numPr>
        <w:ind w:firstLine="36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Арендатор обязан не позднее, чем за 2 рабочих дня до завершения срока аренды связаться с Администратором по тел.: 245-3006 и сообщить о планируемой дате освобождения помещения;</w:t>
      </w:r>
      <w:r/>
    </w:p>
    <w:p>
      <w:pPr>
        <w:pStyle w:val="953"/>
        <w:numPr>
          <w:ilvl w:val="0"/>
          <w:numId w:val="39"/>
        </w:numPr>
        <w:ind w:firstLine="36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Администратор назначает дату и время осмотра возвращаемой рабочей зоны, возврат ключа от ячейки для хранения личных вещей и пропуска с подписанием Акта возврата рабочей зоны;</w:t>
      </w:r>
      <w:r/>
    </w:p>
    <w:p>
      <w:pPr>
        <w:pStyle w:val="953"/>
        <w:numPr>
          <w:ilvl w:val="0"/>
          <w:numId w:val="39"/>
        </w:numPr>
        <w:ind w:firstLine="36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Выезд Арендатора осуществляется с 08.00 до 20.00 в последний день аренды:</w:t>
      </w:r>
      <w:r/>
    </w:p>
    <w:p>
      <w:pPr>
        <w:pStyle w:val="953"/>
        <w:numPr>
          <w:ilvl w:val="0"/>
          <w:numId w:val="39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 последний день аренды Арендатор подписывает Акт возврата рабочей зоны, который формируется Администратором и возвращает ключ от ящика, а также пластиковую магнитную карту доступа;</w:t>
      </w:r>
      <w:r/>
    </w:p>
    <w:p>
      <w:pPr>
        <w:pStyle w:val="953"/>
        <w:numPr>
          <w:ilvl w:val="0"/>
          <w:numId w:val="39"/>
        </w:numPr>
        <w:ind w:left="1440"/>
        <w:jc w:val="both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Вывоз имущества осуществляется по согласованию с администрацией БЦ, посредством оформления разрешения (письма) на вывоз ТМЦ. Запрос на вывоз ТМЦ направляется в письменном виде на эл. почту office@chel-city.ru или нарочно на ресепшн 1 этажа;</w:t>
      </w:r>
      <w:r/>
    </w:p>
    <w:p>
      <w:pPr>
        <w:pStyle w:val="953"/>
        <w:numPr>
          <w:ilvl w:val="0"/>
          <w:numId w:val="39"/>
        </w:numPr>
        <w:ind w:left="1440"/>
        <w:spacing w:before="0" w:beforeAutospacing="0" w:after="0" w:afterAutospacing="0"/>
      </w:pPr>
      <w:r>
        <w:rPr>
          <w:color w:val="000000"/>
          <w:sz w:val="22"/>
          <w:szCs w:val="22"/>
        </w:rPr>
        <w:t xml:space="preserve">Для выхода из БЦ Администратор взамен постоянной карты выдает временный пропуск, который при выходе на 1 этаже Арендатор опускает в картоприемник.</w:t>
      </w:r>
      <w:r/>
    </w:p>
    <w:p>
      <w:pPr>
        <w:pStyle w:val="953"/>
        <w:ind w:left="360"/>
        <w:spacing w:before="0" w:beforeAutospacing="0" w:after="0" w:afterAutospacing="0"/>
      </w:pPr>
      <w:r>
        <w:t xml:space="preserve"> </w:t>
      </w:r>
      <w:r/>
    </w:p>
    <w:p>
      <w:pPr>
        <w:ind w:left="6237" w:right="-18" w:hanging="28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237" w:right="-18" w:hanging="28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6237" w:right="-18" w:hanging="28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right="-18" w:firstLine="709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С Правилами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пользования коворкингом «Челябинск-СИТИ» ознакомлен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  <w:lang w:val="en-US"/>
        </w:rPr>
        <w:t xml:space="preserve">V</w:t>
      </w:r>
      <w:r>
        <w:rPr>
          <w:color w:val="ff0000"/>
          <w:sz w:val="22"/>
          <w:szCs w:val="22"/>
        </w:rPr>
      </w:r>
    </w:p>
    <w:p>
      <w:pPr>
        <w:pStyle w:val="934"/>
        <w:contextualSpacing/>
        <w:ind w:left="567" w:firstLine="142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</w:r>
    </w:p>
    <w:p>
      <w:pPr>
        <w:ind w:right="-1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erReference w:type="default" r:id="rId9"/>
      <w:footnotePr/>
      <w:endnotePr/>
      <w:type w:val="nextPage"/>
      <w:pgSz w:w="11906" w:h="16838" w:orient="portrait"/>
      <w:pgMar w:top="426" w:right="424" w:bottom="308" w:left="709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ヒラギノ角ゴ Pro W3">
    <w:panose1 w:val="020B060403050404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32810486"/>
      <w:docPartObj>
        <w:docPartGallery w:val="Page Numbers (Bottom of Page)"/>
        <w:docPartUnique w:val="true"/>
      </w:docPartObj>
      <w:rPr/>
    </w:sdtPr>
    <w:sdtContent>
      <w:p>
        <w:pPr>
          <w:pStyle w:val="94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8"/>
      <w:numFmt w:val="decimal"/>
      <w:pStyle w:val="955"/>
      <w:isLgl w:val="false"/>
      <w:suff w:val="tab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pStyle w:val="954"/>
      <w:isLgl/>
      <w:suff w:val="tab"/>
      <w:lvlText w:val="%1.%2."/>
      <w:lvlJc w:val="left"/>
      <w:pPr>
        <w:ind w:left="4733" w:hanging="480"/>
      </w:pPr>
      <w:rPr>
        <w:rFonts w:hint="default"/>
        <w:b w:val="0"/>
        <w:color w:val="auto"/>
      </w:rPr>
    </w:lvl>
    <w:lvl w:ilvl="2">
      <w:start w:val="1"/>
      <w:numFmt w:val="decimal"/>
      <w:pStyle w:val="957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4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1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8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06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13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20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7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3492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33"/>
  </w:num>
  <w:num w:numId="5">
    <w:abstractNumId w:val="2"/>
  </w:num>
  <w:num w:numId="6">
    <w:abstractNumId w:val="19"/>
  </w:num>
  <w:num w:numId="7">
    <w:abstractNumId w:val="20"/>
  </w:num>
  <w:num w:numId="8">
    <w:abstractNumId w:val="11"/>
  </w:num>
  <w:num w:numId="9">
    <w:abstractNumId w:val="4"/>
  </w:num>
  <w:num w:numId="10">
    <w:abstractNumId w:val="30"/>
  </w:num>
  <w:num w:numId="11">
    <w:abstractNumId w:val="18"/>
  </w:num>
  <w:num w:numId="12">
    <w:abstractNumId w:val="14"/>
  </w:num>
  <w:num w:numId="13">
    <w:abstractNumId w:val="5"/>
  </w:num>
  <w:num w:numId="14">
    <w:abstractNumId w:val="36"/>
  </w:num>
  <w:num w:numId="15">
    <w:abstractNumId w:val="10"/>
  </w:num>
  <w:num w:numId="16">
    <w:abstractNumId w:val="25"/>
  </w:num>
  <w:num w:numId="17">
    <w:abstractNumId w:val="35"/>
  </w:num>
  <w:num w:numId="18">
    <w:abstractNumId w:val="12"/>
  </w:num>
  <w:num w:numId="19">
    <w:abstractNumId w:val="27"/>
  </w:num>
  <w:num w:numId="20">
    <w:abstractNumId w:val="0"/>
  </w:num>
  <w:num w:numId="21">
    <w:abstractNumId w:val="34"/>
  </w:num>
  <w:num w:numId="22">
    <w:abstractNumId w:val="23"/>
  </w:num>
  <w:num w:numId="23">
    <w:abstractNumId w:val="9"/>
  </w:num>
  <w:num w:numId="24">
    <w:abstractNumId w:val="31"/>
  </w:num>
  <w:num w:numId="25">
    <w:abstractNumId w:val="37"/>
  </w:num>
  <w:num w:numId="26">
    <w:abstractNumId w:val="8"/>
  </w:num>
  <w:num w:numId="27">
    <w:abstractNumId w:val="28"/>
  </w:num>
  <w:num w:numId="28">
    <w:abstractNumId w:val="22"/>
  </w:num>
  <w:num w:numId="29">
    <w:abstractNumId w:val="39"/>
  </w:num>
  <w:num w:numId="30">
    <w:abstractNumId w:val="24"/>
  </w:num>
  <w:num w:numId="31">
    <w:abstractNumId w:val="7"/>
  </w:num>
  <w:num w:numId="32">
    <w:abstractNumId w:val="6"/>
  </w:num>
  <w:num w:numId="33">
    <w:abstractNumId w:val="38"/>
  </w:num>
  <w:num w:numId="34">
    <w:abstractNumId w:val="29"/>
  </w:num>
  <w:num w:numId="35">
    <w:abstractNumId w:val="13"/>
  </w:num>
  <w:num w:numId="36">
    <w:abstractNumId w:val="15"/>
  </w:num>
  <w:num w:numId="37">
    <w:abstractNumId w:val="1"/>
  </w:num>
  <w:num w:numId="38">
    <w:abstractNumId w:val="32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7"/>
    <w:link w:val="7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67"/>
    <w:link w:val="780"/>
    <w:uiPriority w:val="11"/>
    <w:rPr>
      <w:sz w:val="24"/>
      <w:szCs w:val="24"/>
    </w:rPr>
  </w:style>
  <w:style w:type="character" w:styleId="39">
    <w:name w:val="Quote Char"/>
    <w:link w:val="782"/>
    <w:uiPriority w:val="29"/>
    <w:rPr>
      <w:i/>
    </w:rPr>
  </w:style>
  <w:style w:type="character" w:styleId="41">
    <w:name w:val="Intense Quote Char"/>
    <w:link w:val="784"/>
    <w:uiPriority w:val="30"/>
    <w:rPr>
      <w:i/>
    </w:rPr>
  </w:style>
  <w:style w:type="table" w:styleId="49">
    <w:name w:val="Table Grid Light"/>
    <w:basedOn w:val="7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6">
    <w:name w:val="Grid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">
    <w:name w:val="Grid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">
    <w:name w:val="Grid Table 4 - Accent 1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">
    <w:name w:val="Grid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">
    <w:name w:val="Grid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">
    <w:name w:val="Grid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5">
    <w:name w:val="List Table 1 Light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9">
    <w:name w:val="List Table 3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">
    <w:name w:val="List Table 5 Dark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">
    <w:name w:val="List Table 6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7">
    <w:name w:val="List Table 7 Colorful - Accent 1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character" w:styleId="176">
    <w:name w:val="Footnote Text Char"/>
    <w:link w:val="915"/>
    <w:uiPriority w:val="99"/>
    <w:rPr>
      <w:sz w:val="18"/>
    </w:rPr>
  </w:style>
  <w:style w:type="character" w:styleId="179">
    <w:name w:val="Endnote Text Char"/>
    <w:link w:val="918"/>
    <w:uiPriority w:val="99"/>
    <w:rPr>
      <w:sz w:val="20"/>
    </w:rPr>
  </w:style>
  <w:style w:type="paragraph" w:styleId="75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8">
    <w:name w:val="Heading 1"/>
    <w:basedOn w:val="757"/>
    <w:next w:val="757"/>
    <w:link w:val="7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9">
    <w:name w:val="Heading 2"/>
    <w:basedOn w:val="757"/>
    <w:next w:val="757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0">
    <w:name w:val="Heading 3"/>
    <w:basedOn w:val="757"/>
    <w:next w:val="757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1">
    <w:name w:val="Heading 4"/>
    <w:basedOn w:val="757"/>
    <w:next w:val="757"/>
    <w:link w:val="940"/>
    <w:qFormat/>
    <w:pPr>
      <w:jc w:val="center"/>
      <w:keepNext/>
      <w:widowControl/>
      <w:outlineLvl w:val="3"/>
    </w:pPr>
    <w:rPr>
      <w:rFonts w:ascii="Arial" w:hAnsi="Arial"/>
      <w:b/>
      <w:sz w:val="28"/>
    </w:rPr>
  </w:style>
  <w:style w:type="paragraph" w:styleId="762">
    <w:name w:val="Heading 5"/>
    <w:basedOn w:val="757"/>
    <w:next w:val="757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757"/>
    <w:next w:val="757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757"/>
    <w:next w:val="757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757"/>
    <w:next w:val="757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757"/>
    <w:next w:val="757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 w:default="1">
    <w:name w:val="Default Paragraph Font"/>
    <w:uiPriority w:val="1"/>
    <w:semiHidden/>
    <w:unhideWhenUsed/>
  </w:style>
  <w:style w:type="table" w:styleId="7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9" w:default="1">
    <w:name w:val="No List"/>
    <w:uiPriority w:val="99"/>
    <w:semiHidden/>
    <w:unhideWhenUsed/>
  </w:style>
  <w:style w:type="character" w:styleId="770" w:customStyle="1">
    <w:name w:val="Заголовок 1 Знак"/>
    <w:basedOn w:val="767"/>
    <w:link w:val="758"/>
    <w:uiPriority w:val="9"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basedOn w:val="767"/>
    <w:link w:val="759"/>
    <w:uiPriority w:val="9"/>
    <w:rPr>
      <w:rFonts w:ascii="Arial" w:hAnsi="Arial" w:eastAsia="Arial" w:cs="Arial"/>
      <w:sz w:val="34"/>
    </w:rPr>
  </w:style>
  <w:style w:type="character" w:styleId="772" w:customStyle="1">
    <w:name w:val="Заголовок 3 Знак"/>
    <w:basedOn w:val="767"/>
    <w:link w:val="760"/>
    <w:uiPriority w:val="9"/>
    <w:rPr>
      <w:rFonts w:ascii="Arial" w:hAnsi="Arial" w:eastAsia="Arial" w:cs="Arial"/>
      <w:sz w:val="30"/>
      <w:szCs w:val="30"/>
    </w:rPr>
  </w:style>
  <w:style w:type="character" w:styleId="773" w:customStyle="1">
    <w:name w:val="Heading 4 Char"/>
    <w:basedOn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basedOn w:val="767"/>
    <w:link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basedOn w:val="767"/>
    <w:link w:val="763"/>
    <w:uiPriority w:val="9"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basedOn w:val="767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basedOn w:val="76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basedOn w:val="767"/>
    <w:link w:val="766"/>
    <w:uiPriority w:val="9"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Title Char"/>
    <w:basedOn w:val="767"/>
    <w:uiPriority w:val="10"/>
    <w:rPr>
      <w:sz w:val="48"/>
      <w:szCs w:val="48"/>
    </w:rPr>
  </w:style>
  <w:style w:type="paragraph" w:styleId="780">
    <w:name w:val="Subtitle"/>
    <w:basedOn w:val="757"/>
    <w:next w:val="757"/>
    <w:link w:val="781"/>
    <w:uiPriority w:val="11"/>
    <w:qFormat/>
    <w:pPr>
      <w:spacing w:before="200" w:after="200"/>
    </w:pPr>
    <w:rPr>
      <w:sz w:val="24"/>
      <w:szCs w:val="24"/>
    </w:rPr>
  </w:style>
  <w:style w:type="character" w:styleId="781" w:customStyle="1">
    <w:name w:val="Подзаголовок Знак"/>
    <w:basedOn w:val="767"/>
    <w:link w:val="780"/>
    <w:uiPriority w:val="11"/>
    <w:rPr>
      <w:sz w:val="24"/>
      <w:szCs w:val="24"/>
    </w:rPr>
  </w:style>
  <w:style w:type="paragraph" w:styleId="782">
    <w:name w:val="Quote"/>
    <w:basedOn w:val="757"/>
    <w:next w:val="757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57"/>
    <w:next w:val="757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character" w:styleId="786" w:customStyle="1">
    <w:name w:val="Header Char"/>
    <w:basedOn w:val="767"/>
    <w:uiPriority w:val="99"/>
  </w:style>
  <w:style w:type="character" w:styleId="787" w:customStyle="1">
    <w:name w:val="Footer Char"/>
    <w:basedOn w:val="767"/>
    <w:uiPriority w:val="99"/>
  </w:style>
  <w:style w:type="paragraph" w:styleId="788">
    <w:name w:val="Caption"/>
    <w:basedOn w:val="757"/>
    <w:next w:val="7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 w:customStyle="1">
    <w:name w:val="Caption Char"/>
    <w:uiPriority w:val="99"/>
  </w:style>
  <w:style w:type="table" w:styleId="790" w:customStyle="1">
    <w:name w:val="Table Grid Light1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1">
    <w:name w:val="Plain Table 1"/>
    <w:basedOn w:val="7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7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6">
    <w:name w:val="Grid Table 1 Light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4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Grid Table 4 - Accent 1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9" w:customStyle="1">
    <w:name w:val="Grid Table 4 - Accent 2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0" w:customStyle="1">
    <w:name w:val="Grid Table 4 - Accent 3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1" w:customStyle="1">
    <w:name w:val="Grid Table 4 - Accent 4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2" w:customStyle="1">
    <w:name w:val="Grid Table 4 - Accent 5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3" w:customStyle="1">
    <w:name w:val="Grid Table 4 - Accent 61"/>
    <w:basedOn w:val="7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4">
    <w:name w:val="Grid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1">
    <w:name w:val="Grid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2" w:customStyle="1">
    <w:name w:val="Grid Table 6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3" w:customStyle="1">
    <w:name w:val="Grid Table 6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4" w:customStyle="1">
    <w:name w:val="Grid Table 6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5" w:customStyle="1">
    <w:name w:val="Grid Table 6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6" w:customStyle="1">
    <w:name w:val="Grid Table 6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7" w:customStyle="1">
    <w:name w:val="Grid Table 6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8">
    <w:name w:val="Grid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1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2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3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4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5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61"/>
    <w:basedOn w:val="7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9">
    <w:name w:val="List Table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>
    <w:name w:val="List Table 6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1" w:customStyle="1">
    <w:name w:val="List Table 6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2" w:customStyle="1">
    <w:name w:val="List Table 6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3" w:customStyle="1">
    <w:name w:val="List Table 6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4" w:customStyle="1">
    <w:name w:val="List Table 6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5" w:customStyle="1">
    <w:name w:val="List Table 6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6" w:customStyle="1">
    <w:name w:val="List Table 6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7">
    <w:name w:val="List Table 7 Colorful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1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2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3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4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5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6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5" w:customStyle="1">
    <w:name w:val="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6" w:customStyle="1">
    <w:name w:val="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7" w:customStyle="1">
    <w:name w:val="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8" w:customStyle="1">
    <w:name w:val="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9" w:customStyle="1">
    <w:name w:val="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0" w:customStyle="1">
    <w:name w:val="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1" w:customStyle="1">
    <w:name w:val="Bordered &amp; Lined - Accent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Bordered &amp; Lined - Accent 1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3" w:customStyle="1">
    <w:name w:val="Bordered &amp; Lined - Accent 2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4" w:customStyle="1">
    <w:name w:val="Bordered &amp; Lined - Accent 3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5" w:customStyle="1">
    <w:name w:val="Bordered &amp; Lined - Accent 4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6" w:customStyle="1">
    <w:name w:val="Bordered &amp; Lined - Accent 5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7" w:customStyle="1">
    <w:name w:val="Bordered &amp; Lined - Accent 6"/>
    <w:basedOn w:val="7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8" w:customStyle="1">
    <w:name w:val="Bordered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9" w:customStyle="1">
    <w:name w:val="Bordered - Accent 1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0" w:customStyle="1">
    <w:name w:val="Bordered - Accent 2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1" w:customStyle="1">
    <w:name w:val="Bordered - Accent 3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2" w:customStyle="1">
    <w:name w:val="Bordered - Accent 4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3" w:customStyle="1">
    <w:name w:val="Bordered - Accent 5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4" w:customStyle="1">
    <w:name w:val="Bordered - Accent 6"/>
    <w:basedOn w:val="7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5">
    <w:name w:val="footnote text"/>
    <w:basedOn w:val="757"/>
    <w:link w:val="916"/>
    <w:uiPriority w:val="99"/>
    <w:semiHidden/>
    <w:unhideWhenUsed/>
    <w:pPr>
      <w:spacing w:after="40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basedOn w:val="767"/>
    <w:uiPriority w:val="99"/>
    <w:unhideWhenUsed/>
    <w:rPr>
      <w:vertAlign w:val="superscript"/>
    </w:rPr>
  </w:style>
  <w:style w:type="paragraph" w:styleId="918">
    <w:name w:val="endnote text"/>
    <w:basedOn w:val="757"/>
    <w:link w:val="919"/>
    <w:uiPriority w:val="99"/>
    <w:semiHidden/>
    <w:unhideWhenUsed/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basedOn w:val="767"/>
    <w:uiPriority w:val="99"/>
    <w:semiHidden/>
    <w:unhideWhenUsed/>
    <w:rPr>
      <w:vertAlign w:val="superscript"/>
    </w:rPr>
  </w:style>
  <w:style w:type="paragraph" w:styleId="921">
    <w:name w:val="toc 1"/>
    <w:basedOn w:val="757"/>
    <w:next w:val="757"/>
    <w:uiPriority w:val="39"/>
    <w:unhideWhenUsed/>
    <w:pPr>
      <w:spacing w:after="57"/>
    </w:pPr>
  </w:style>
  <w:style w:type="paragraph" w:styleId="922">
    <w:name w:val="toc 2"/>
    <w:basedOn w:val="757"/>
    <w:next w:val="757"/>
    <w:uiPriority w:val="39"/>
    <w:unhideWhenUsed/>
    <w:pPr>
      <w:ind w:left="283"/>
      <w:spacing w:after="57"/>
    </w:pPr>
  </w:style>
  <w:style w:type="paragraph" w:styleId="923">
    <w:name w:val="toc 3"/>
    <w:basedOn w:val="757"/>
    <w:next w:val="757"/>
    <w:uiPriority w:val="39"/>
    <w:unhideWhenUsed/>
    <w:pPr>
      <w:ind w:left="567"/>
      <w:spacing w:after="57"/>
    </w:pPr>
  </w:style>
  <w:style w:type="paragraph" w:styleId="924">
    <w:name w:val="toc 4"/>
    <w:basedOn w:val="757"/>
    <w:next w:val="757"/>
    <w:uiPriority w:val="39"/>
    <w:unhideWhenUsed/>
    <w:pPr>
      <w:ind w:left="850"/>
      <w:spacing w:after="57"/>
    </w:pPr>
  </w:style>
  <w:style w:type="paragraph" w:styleId="925">
    <w:name w:val="toc 5"/>
    <w:basedOn w:val="757"/>
    <w:next w:val="757"/>
    <w:uiPriority w:val="39"/>
    <w:unhideWhenUsed/>
    <w:pPr>
      <w:ind w:left="1134"/>
      <w:spacing w:after="57"/>
    </w:pPr>
  </w:style>
  <w:style w:type="paragraph" w:styleId="926">
    <w:name w:val="toc 6"/>
    <w:basedOn w:val="757"/>
    <w:next w:val="757"/>
    <w:uiPriority w:val="39"/>
    <w:unhideWhenUsed/>
    <w:pPr>
      <w:ind w:left="1417"/>
      <w:spacing w:after="57"/>
    </w:pPr>
  </w:style>
  <w:style w:type="paragraph" w:styleId="927">
    <w:name w:val="toc 7"/>
    <w:basedOn w:val="757"/>
    <w:next w:val="757"/>
    <w:uiPriority w:val="39"/>
    <w:unhideWhenUsed/>
    <w:pPr>
      <w:ind w:left="1701"/>
      <w:spacing w:after="57"/>
    </w:pPr>
  </w:style>
  <w:style w:type="paragraph" w:styleId="928">
    <w:name w:val="toc 8"/>
    <w:basedOn w:val="757"/>
    <w:next w:val="757"/>
    <w:uiPriority w:val="39"/>
    <w:unhideWhenUsed/>
    <w:pPr>
      <w:ind w:left="1984"/>
      <w:spacing w:after="57"/>
    </w:pPr>
  </w:style>
  <w:style w:type="paragraph" w:styleId="929">
    <w:name w:val="toc 9"/>
    <w:basedOn w:val="757"/>
    <w:next w:val="757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7"/>
    <w:next w:val="757"/>
    <w:uiPriority w:val="99"/>
    <w:unhideWhenUsed/>
  </w:style>
  <w:style w:type="paragraph" w:styleId="932">
    <w:name w:val="Title"/>
    <w:basedOn w:val="757"/>
    <w:link w:val="933"/>
    <w:qFormat/>
    <w:pPr>
      <w:jc w:val="center"/>
    </w:pPr>
    <w:rPr>
      <w:rFonts w:ascii="Arial" w:hAnsi="Arial"/>
      <w:b/>
      <w:sz w:val="24"/>
    </w:rPr>
  </w:style>
  <w:style w:type="character" w:styleId="933" w:customStyle="1">
    <w:name w:val="Заголовок Знак"/>
    <w:basedOn w:val="767"/>
    <w:link w:val="932"/>
    <w:rPr>
      <w:rFonts w:ascii="Arial" w:hAnsi="Arial" w:eastAsia="Times New Roman" w:cs="Times New Roman"/>
      <w:b/>
      <w:sz w:val="24"/>
      <w:szCs w:val="20"/>
      <w:lang w:eastAsia="ru-RU"/>
    </w:rPr>
  </w:style>
  <w:style w:type="paragraph" w:styleId="934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35">
    <w:name w:val="Table Grid"/>
    <w:basedOn w:val="76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36" w:customStyle="1">
    <w:name w:val="Char Char"/>
    <w:basedOn w:val="757"/>
    <w:pPr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937" w:customStyle="1">
    <w:name w:val="Обычный1"/>
    <w:pPr>
      <w:ind w:left="960" w:hanging="280"/>
      <w:jc w:val="both"/>
      <w:spacing w:after="0" w:line="320" w:lineRule="auto"/>
      <w:widowControl w:val="off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paragraph" w:styleId="93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39" w:customStyle="1">
    <w:name w:val="Базовый"/>
    <w:pPr>
      <w:spacing w:after="0" w:line="100" w:lineRule="atLeast"/>
      <w:widowControl w:val="off"/>
    </w:pPr>
    <w:rPr>
      <w:rFonts w:ascii="Times New Roman" w:hAnsi="Times New Roman" w:eastAsia="Times New Roman" w:cs="Times New Roman"/>
      <w:color w:val="00000a"/>
      <w:sz w:val="20"/>
      <w:szCs w:val="20"/>
      <w:lang w:eastAsia="ru-RU"/>
    </w:rPr>
  </w:style>
  <w:style w:type="character" w:styleId="940" w:customStyle="1">
    <w:name w:val="Заголовок 4 Знак"/>
    <w:basedOn w:val="767"/>
    <w:link w:val="761"/>
    <w:rPr>
      <w:rFonts w:ascii="Arial" w:hAnsi="Arial" w:eastAsia="Times New Roman" w:cs="Times New Roman"/>
      <w:b/>
      <w:sz w:val="28"/>
      <w:szCs w:val="20"/>
      <w:lang w:eastAsia="ru-RU"/>
    </w:rPr>
  </w:style>
  <w:style w:type="paragraph" w:styleId="941">
    <w:name w:val="List Paragraph"/>
    <w:basedOn w:val="757"/>
    <w:link w:val="966"/>
    <w:uiPriority w:val="34"/>
    <w:qFormat/>
    <w:pPr>
      <w:contextualSpacing/>
      <w:ind w:left="720"/>
    </w:pPr>
  </w:style>
  <w:style w:type="paragraph" w:styleId="942">
    <w:name w:val="Balloon Text"/>
    <w:basedOn w:val="757"/>
    <w:link w:val="943"/>
    <w:uiPriority w:val="99"/>
    <w:semiHidden/>
    <w:unhideWhenUsed/>
    <w:rPr>
      <w:rFonts w:ascii="Tahoma" w:hAnsi="Tahoma" w:cs="Tahoma"/>
      <w:sz w:val="16"/>
      <w:szCs w:val="16"/>
    </w:rPr>
  </w:style>
  <w:style w:type="character" w:styleId="943" w:customStyle="1">
    <w:name w:val="Текст выноски Знак"/>
    <w:basedOn w:val="767"/>
    <w:link w:val="9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44" w:customStyle="1">
    <w:name w:val="Сетка таблицы1"/>
    <w:basedOn w:val="768"/>
    <w:next w:val="93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45">
    <w:name w:val="Header"/>
    <w:basedOn w:val="757"/>
    <w:link w:val="9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6" w:customStyle="1">
    <w:name w:val="Верхний колонтитул Знак"/>
    <w:basedOn w:val="767"/>
    <w:link w:val="94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47">
    <w:name w:val="Footer"/>
    <w:basedOn w:val="757"/>
    <w:link w:val="94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8" w:customStyle="1">
    <w:name w:val="Нижний колонтитул Знак"/>
    <w:basedOn w:val="767"/>
    <w:link w:val="9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49">
    <w:name w:val="Strong"/>
    <w:basedOn w:val="767"/>
    <w:uiPriority w:val="22"/>
    <w:qFormat/>
    <w:rPr>
      <w:b/>
      <w:bCs/>
    </w:rPr>
  </w:style>
  <w:style w:type="character" w:styleId="950">
    <w:name w:val="Hyperlink"/>
    <w:basedOn w:val="767"/>
    <w:uiPriority w:val="99"/>
    <w:unhideWhenUsed/>
    <w:rPr>
      <w:color w:val="0000ff" w:themeColor="hyperlink"/>
      <w:u w:val="single"/>
    </w:rPr>
  </w:style>
  <w:style w:type="paragraph" w:styleId="951">
    <w:name w:val="Body Text"/>
    <w:basedOn w:val="757"/>
    <w:link w:val="952"/>
    <w:pPr>
      <w:spacing w:after="120"/>
      <w:widowControl/>
    </w:pPr>
    <w:rPr>
      <w:sz w:val="24"/>
      <w:szCs w:val="24"/>
      <w:lang w:eastAsia="ar-SA"/>
    </w:rPr>
  </w:style>
  <w:style w:type="character" w:styleId="952" w:customStyle="1">
    <w:name w:val="Основной текст Знак"/>
    <w:basedOn w:val="767"/>
    <w:link w:val="95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53">
    <w:name w:val="Normal (Web)"/>
    <w:basedOn w:val="757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paragraph" w:styleId="954" w:customStyle="1">
    <w:name w:val="Пункт"/>
    <w:basedOn w:val="757"/>
    <w:link w:val="956"/>
    <w:qFormat/>
    <w:pPr>
      <w:numPr>
        <w:ilvl w:val="1"/>
        <w:numId w:val="1"/>
      </w:numPr>
      <w:jc w:val="both"/>
      <w:spacing w:before="120"/>
      <w:widowControl/>
    </w:pPr>
    <w:rPr>
      <w:sz w:val="24"/>
      <w:szCs w:val="24"/>
    </w:rPr>
  </w:style>
  <w:style w:type="paragraph" w:styleId="955" w:customStyle="1">
    <w:name w:val="Раздел"/>
    <w:basedOn w:val="757"/>
    <w:next w:val="954"/>
    <w:link w:val="958"/>
    <w:qFormat/>
    <w:pPr>
      <w:numPr>
        <w:ilvl w:val="0"/>
        <w:numId w:val="1"/>
      </w:numPr>
      <w:jc w:val="center"/>
      <w:spacing w:before="360"/>
      <w:widowControl/>
    </w:pPr>
    <w:rPr>
      <w:b/>
      <w:sz w:val="24"/>
      <w:szCs w:val="24"/>
    </w:rPr>
  </w:style>
  <w:style w:type="character" w:styleId="956" w:customStyle="1">
    <w:name w:val="Пункт Знак"/>
    <w:link w:val="95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7" w:customStyle="1">
    <w:name w:val="Пп."/>
    <w:basedOn w:val="954"/>
    <w:link w:val="959"/>
    <w:qFormat/>
    <w:pPr>
      <w:numPr>
        <w:ilvl w:val="2"/>
      </w:numPr>
      <w:spacing w:before="60"/>
    </w:pPr>
  </w:style>
  <w:style w:type="character" w:styleId="958" w:customStyle="1">
    <w:name w:val="Раздел Знак"/>
    <w:link w:val="955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959" w:customStyle="1">
    <w:name w:val="Пп. Знак"/>
    <w:link w:val="95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 w:customStyle="1">
    <w:name w:val="Body"/>
    <w:basedOn w:val="757"/>
    <w:pPr>
      <w:jc w:val="both"/>
      <w:spacing w:after="140" w:line="288" w:lineRule="auto"/>
      <w:widowControl/>
    </w:pPr>
    <w:rPr>
      <w:rFonts w:ascii="Arial" w:hAnsi="Arial"/>
      <w:lang w:eastAsia="ar-SA"/>
    </w:rPr>
  </w:style>
  <w:style w:type="paragraph" w:styleId="961" w:customStyle="1">
    <w:name w:val="Body A"/>
    <w:pPr>
      <w:jc w:val="both"/>
      <w:spacing w:after="140" w:line="288" w:lineRule="auto"/>
    </w:pPr>
    <w:rPr>
      <w:rFonts w:ascii="Arial" w:hAnsi="Arial" w:eastAsia="ヒラギノ角ゴ Pro W3" w:cs="Times New Roman"/>
      <w:color w:val="000000"/>
      <w:sz w:val="20"/>
      <w:szCs w:val="20"/>
      <w:lang w:eastAsia="ru-RU"/>
    </w:rPr>
  </w:style>
  <w:style w:type="paragraph" w:styleId="962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963">
    <w:name w:val="annotation text"/>
    <w:basedOn w:val="757"/>
    <w:link w:val="964"/>
    <w:uiPriority w:val="99"/>
    <w:unhideWhenUsed/>
  </w:style>
  <w:style w:type="character" w:styleId="964" w:customStyle="1">
    <w:name w:val="Текст примечания Знак"/>
    <w:basedOn w:val="767"/>
    <w:link w:val="9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5" w:customStyle="1">
    <w:name w:val="docdata"/>
    <w:basedOn w:val="757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66" w:customStyle="1">
    <w:name w:val="Абзац списка Знак"/>
    <w:link w:val="941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7" w:customStyle="1">
    <w:name w:val="Preformat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68">
    <w:name w:val="annotation reference"/>
    <w:basedOn w:val="767"/>
    <w:uiPriority w:val="99"/>
    <w:semiHidden/>
    <w:unhideWhenUsed/>
    <w:rPr>
      <w:sz w:val="16"/>
      <w:szCs w:val="16"/>
    </w:rPr>
  </w:style>
  <w:style w:type="paragraph" w:styleId="969">
    <w:name w:val="annotation subject"/>
    <w:basedOn w:val="963"/>
    <w:next w:val="963"/>
    <w:link w:val="970"/>
    <w:uiPriority w:val="99"/>
    <w:semiHidden/>
    <w:unhideWhenUsed/>
    <w:rPr>
      <w:b/>
      <w:bCs/>
    </w:rPr>
  </w:style>
  <w:style w:type="character" w:styleId="970" w:customStyle="1">
    <w:name w:val="Тема примечания Знак"/>
    <w:basedOn w:val="964"/>
    <w:link w:val="96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812B-06CD-4C65-81AB-D3726F59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 Жанна Валерьевна</dc:creator>
  <cp:lastModifiedBy>Ерохин Олег Анатольевич</cp:lastModifiedBy>
  <cp:revision>15</cp:revision>
  <dcterms:created xsi:type="dcterms:W3CDTF">2024-06-20T11:00:00Z</dcterms:created>
  <dcterms:modified xsi:type="dcterms:W3CDTF">2024-08-02T11:32:35Z</dcterms:modified>
</cp:coreProperties>
</file>